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45D" w:rsidRPr="00067882" w:rsidRDefault="00F4345D" w:rsidP="00F4345D">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 xml:space="preserve">rking Group </w:t>
      </w:r>
      <w:r w:rsidR="008D54C8">
        <w:rPr>
          <w:rFonts w:ascii="Arial" w:hAnsi="Arial" w:cs="Arial"/>
          <w:sz w:val="24"/>
          <w:lang w:val="en-US"/>
        </w:rPr>
        <w:t>5</w:t>
      </w:r>
      <w:r w:rsidR="00E32694">
        <w:rPr>
          <w:rFonts w:ascii="Arial" w:hAnsi="Arial" w:cs="Arial"/>
          <w:sz w:val="24"/>
          <w:lang w:val="en-US"/>
        </w:rPr>
        <w:t xml:space="preserve"> </w:t>
      </w:r>
      <w:r>
        <w:rPr>
          <w:rFonts w:ascii="Arial" w:hAnsi="Arial" w:cs="Arial"/>
          <w:sz w:val="24"/>
          <w:lang w:val="en-US"/>
        </w:rPr>
        <w:t>meeting #</w:t>
      </w:r>
      <w:r w:rsidR="008D54C8" w:rsidRPr="008D54C8">
        <w:rPr>
          <w:rFonts w:ascii="Arial" w:hAnsi="Arial" w:cs="Arial"/>
          <w:sz w:val="24"/>
          <w:lang w:val="en-US"/>
        </w:rPr>
        <w:t>3-5G-NR Adhoc</w:t>
      </w:r>
      <w:r w:rsidRPr="00067882">
        <w:rPr>
          <w:rFonts w:ascii="Arial" w:hAnsi="Arial" w:cs="Arial"/>
          <w:sz w:val="24"/>
          <w:lang w:val="en-US"/>
        </w:rPr>
        <w:tab/>
        <w:t xml:space="preserve"> </w:t>
      </w:r>
      <w:r w:rsidRPr="00A757CE">
        <w:rPr>
          <w:rFonts w:ascii="Arial" w:hAnsi="Arial" w:cs="Arial"/>
          <w:i/>
          <w:sz w:val="24"/>
          <w:lang w:val="en-US"/>
        </w:rPr>
        <w:t xml:space="preserve"> </w:t>
      </w:r>
      <w:r w:rsidR="008D54C8">
        <w:rPr>
          <w:rFonts w:ascii="Arial" w:hAnsi="Arial" w:cs="Arial"/>
          <w:b/>
          <w:bCs/>
          <w:iCs/>
          <w:sz w:val="24"/>
          <w:lang w:val="en-US"/>
        </w:rPr>
        <w:t>R5</w:t>
      </w:r>
      <w:r w:rsidR="00012DB3">
        <w:rPr>
          <w:rFonts w:ascii="Arial" w:hAnsi="Arial" w:cs="Arial"/>
          <w:b/>
          <w:bCs/>
          <w:iCs/>
          <w:sz w:val="24"/>
          <w:lang w:val="en-US"/>
        </w:rPr>
        <w:t>-18</w:t>
      </w:r>
      <w:r w:rsidR="007320EE">
        <w:rPr>
          <w:rFonts w:ascii="Arial" w:hAnsi="Arial" w:cs="Arial"/>
          <w:b/>
          <w:bCs/>
          <w:iCs/>
          <w:sz w:val="24"/>
          <w:lang w:val="en-US"/>
        </w:rPr>
        <w:t>5945</w:t>
      </w:r>
      <w:bookmarkStart w:id="0" w:name="_GoBack"/>
      <w:bookmarkEnd w:id="0"/>
    </w:p>
    <w:p w:rsidR="00F4345D" w:rsidRPr="00140D0B" w:rsidRDefault="00E32694" w:rsidP="00F4345D">
      <w:pPr>
        <w:pStyle w:val="Header"/>
        <w:tabs>
          <w:tab w:val="clear" w:pos="8306"/>
          <w:tab w:val="right" w:pos="9864"/>
        </w:tabs>
        <w:spacing w:after="120"/>
        <w:rPr>
          <w:rFonts w:ascii="Arial" w:hAnsi="Arial" w:cs="Arial"/>
          <w:sz w:val="24"/>
          <w:lang w:val="en-US"/>
        </w:rPr>
      </w:pPr>
      <w:r>
        <w:rPr>
          <w:rFonts w:ascii="Arial" w:hAnsi="Arial" w:cs="Arial"/>
          <w:sz w:val="24"/>
          <w:lang w:val="en-US"/>
        </w:rPr>
        <w:t>Jaipur</w:t>
      </w:r>
      <w:r w:rsidR="00F4345D" w:rsidRPr="00140D0B">
        <w:rPr>
          <w:rFonts w:ascii="Arial" w:hAnsi="Arial" w:cs="Arial"/>
          <w:sz w:val="24"/>
          <w:lang w:val="en-US"/>
        </w:rPr>
        <w:t xml:space="preserve">, </w:t>
      </w:r>
      <w:r>
        <w:rPr>
          <w:rFonts w:ascii="Arial" w:hAnsi="Arial" w:cs="Arial"/>
          <w:sz w:val="24"/>
          <w:lang w:val="en-US"/>
        </w:rPr>
        <w:t>India</w:t>
      </w:r>
      <w:r w:rsidR="00F4345D" w:rsidRPr="00140D0B">
        <w:rPr>
          <w:rFonts w:ascii="Arial" w:hAnsi="Arial" w:cs="Arial"/>
          <w:sz w:val="24"/>
          <w:lang w:val="en-US"/>
        </w:rPr>
        <w:t xml:space="preserve">, </w:t>
      </w:r>
      <w:r w:rsidR="00F4345D">
        <w:rPr>
          <w:rFonts w:ascii="Arial" w:hAnsi="Arial" w:cs="Arial"/>
          <w:sz w:val="24"/>
          <w:lang w:val="en-US"/>
        </w:rPr>
        <w:t>8</w:t>
      </w:r>
      <w:r w:rsidR="00F4345D" w:rsidRPr="00140D0B">
        <w:rPr>
          <w:rFonts w:ascii="Arial" w:hAnsi="Arial" w:cs="Arial"/>
          <w:sz w:val="24"/>
          <w:lang w:val="en-US"/>
        </w:rPr>
        <w:t xml:space="preserve"> – </w:t>
      </w:r>
      <w:r w:rsidR="00F4345D">
        <w:rPr>
          <w:rFonts w:ascii="Arial" w:hAnsi="Arial" w:cs="Arial"/>
          <w:sz w:val="24"/>
          <w:lang w:val="en-US"/>
        </w:rPr>
        <w:t>12</w:t>
      </w:r>
      <w:r w:rsidR="00F4345D" w:rsidRPr="00140D0B">
        <w:rPr>
          <w:rFonts w:ascii="Arial" w:hAnsi="Arial" w:cs="Arial"/>
          <w:sz w:val="24"/>
          <w:lang w:val="en-US"/>
        </w:rPr>
        <w:t xml:space="preserve"> </w:t>
      </w:r>
      <w:r w:rsidR="00F4345D">
        <w:rPr>
          <w:rFonts w:ascii="Arial" w:hAnsi="Arial" w:cs="Arial"/>
          <w:sz w:val="24"/>
          <w:lang w:val="en-US"/>
        </w:rPr>
        <w:t>October</w:t>
      </w:r>
      <w:r w:rsidR="00F4345D" w:rsidRPr="00140D0B">
        <w:rPr>
          <w:rFonts w:ascii="Arial" w:hAnsi="Arial" w:cs="Arial"/>
          <w:sz w:val="24"/>
          <w:lang w:val="en-US"/>
        </w:rPr>
        <w:t xml:space="preserve"> 2018</w:t>
      </w:r>
      <w:r w:rsidR="00F4345D" w:rsidRPr="00140D0B">
        <w:rPr>
          <w:rFonts w:ascii="Arial" w:hAnsi="Arial" w:cs="Arial"/>
          <w:sz w:val="24"/>
          <w:lang w:val="en-US"/>
        </w:rPr>
        <w:tab/>
      </w:r>
    </w:p>
    <w:p w:rsidR="00F4345D" w:rsidRPr="00140D0B" w:rsidRDefault="00F4345D" w:rsidP="00F4345D">
      <w:pPr>
        <w:spacing w:after="120"/>
        <w:ind w:left="1985" w:hanging="1985"/>
        <w:rPr>
          <w:rFonts w:ascii="Arial" w:hAnsi="Arial" w:cs="Arial"/>
          <w:b/>
          <w:lang w:val="en-US"/>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8D54C8" w:rsidRPr="00E32694">
        <w:rPr>
          <w:rFonts w:ascii="Arial" w:hAnsi="Arial" w:cs="Arial"/>
          <w:sz w:val="22"/>
          <w:szCs w:val="22"/>
          <w:lang w:val="en-US"/>
        </w:rPr>
        <w:t xml:space="preserve">Ericsson, </w:t>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AA1DBC">
        <w:rPr>
          <w:rFonts w:ascii="Arial" w:hAnsi="Arial" w:cs="Arial"/>
          <w:sz w:val="22"/>
          <w:szCs w:val="22"/>
          <w:lang w:val="en-US"/>
        </w:rPr>
        <w:t>MU improvement proposal by</w:t>
      </w:r>
      <w:r w:rsidR="00413840">
        <w:rPr>
          <w:rFonts w:ascii="Arial" w:hAnsi="Arial" w:cs="Arial"/>
          <w:sz w:val="22"/>
          <w:szCs w:val="22"/>
          <w:lang w:val="en-US"/>
        </w:rPr>
        <w:t xml:space="preserve"> promoting</w:t>
      </w:r>
      <w:r w:rsidR="00B04B4B">
        <w:rPr>
          <w:rFonts w:ascii="Arial" w:hAnsi="Arial" w:cs="Arial"/>
          <w:sz w:val="22"/>
          <w:szCs w:val="22"/>
          <w:lang w:val="en-US"/>
        </w:rPr>
        <w:t xml:space="preserve"> </w:t>
      </w:r>
      <w:r w:rsidR="00413840">
        <w:rPr>
          <w:rFonts w:ascii="Arial" w:hAnsi="Arial" w:cs="Arial"/>
          <w:sz w:val="22"/>
          <w:szCs w:val="22"/>
          <w:lang w:val="en-US"/>
        </w:rPr>
        <w:t>the white or similar</w:t>
      </w:r>
      <w:r w:rsidR="001C6F58">
        <w:rPr>
          <w:rFonts w:ascii="Arial" w:hAnsi="Arial" w:cs="Arial"/>
          <w:sz w:val="22"/>
          <w:szCs w:val="22"/>
          <w:lang w:val="en-US"/>
        </w:rPr>
        <w:t xml:space="preserve"> </w:t>
      </w:r>
      <w:r w:rsidR="001B529F">
        <w:rPr>
          <w:rFonts w:ascii="Arial" w:hAnsi="Arial" w:cs="Arial"/>
          <w:sz w:val="22"/>
          <w:szCs w:val="22"/>
          <w:lang w:val="en-US"/>
        </w:rPr>
        <w:t>box approach</w:t>
      </w:r>
      <w:r w:rsidR="00AA1DBC">
        <w:rPr>
          <w:rFonts w:ascii="Arial" w:hAnsi="Arial" w:cs="Arial"/>
          <w:sz w:val="22"/>
          <w:szCs w:val="22"/>
          <w:lang w:val="en-US"/>
        </w:rPr>
        <w:t xml:space="preserve"> </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E32694">
        <w:rPr>
          <w:rFonts w:ascii="Arial" w:hAnsi="Arial" w:cs="Arial"/>
          <w:sz w:val="22"/>
          <w:szCs w:val="22"/>
          <w:lang w:val="en-US"/>
        </w:rPr>
        <w:t>5.</w:t>
      </w:r>
      <w:r w:rsidR="00FF2494">
        <w:rPr>
          <w:rFonts w:ascii="Arial" w:hAnsi="Arial" w:cs="Arial"/>
          <w:sz w:val="22"/>
          <w:szCs w:val="22"/>
          <w:lang w:val="en-US"/>
        </w:rPr>
        <w:t>1.14</w:t>
      </w:r>
      <w:r w:rsidR="00AA1DBC">
        <w:rPr>
          <w:rFonts w:ascii="Arial" w:hAnsi="Arial" w:cs="Arial"/>
          <w:sz w:val="22"/>
          <w:szCs w:val="22"/>
          <w:lang w:val="en-US"/>
        </w:rPr>
        <w:t>.</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294DF1">
        <w:rPr>
          <w:rFonts w:ascii="Arial" w:hAnsi="Arial" w:cs="Arial"/>
          <w:bCs/>
          <w:sz w:val="22"/>
          <w:szCs w:val="22"/>
          <w:lang w:val="en-US"/>
        </w:rPr>
        <w:t>Discussion</w:t>
      </w:r>
      <w:r w:rsidR="008D54C8">
        <w:rPr>
          <w:rFonts w:ascii="Arial" w:hAnsi="Arial" w:cs="Arial"/>
          <w:bCs/>
          <w:sz w:val="22"/>
          <w:szCs w:val="22"/>
          <w:lang w:val="en-US"/>
        </w:rPr>
        <w:t xml:space="preserve"> and </w:t>
      </w:r>
      <w:r w:rsidR="00956CE0">
        <w:rPr>
          <w:rFonts w:ascii="Arial" w:hAnsi="Arial" w:cs="Arial"/>
          <w:bCs/>
          <w:sz w:val="22"/>
          <w:szCs w:val="22"/>
          <w:lang w:val="en-US"/>
        </w:rPr>
        <w:t>Endorsement</w:t>
      </w:r>
    </w:p>
    <w:p w:rsidR="00CA3A81"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AA1DBC" w:rsidRPr="00AA1DBC" w:rsidRDefault="00AA1DBC" w:rsidP="00AA1DBC">
      <w:pPr>
        <w:pStyle w:val="BodyText"/>
      </w:pPr>
      <w:r>
        <w:t>A significant contributor to the</w:t>
      </w:r>
      <w:r w:rsidR="001C6F58">
        <w:t xml:space="preserve"> UE FR2 overall</w:t>
      </w:r>
      <w:r>
        <w:t xml:space="preserve"> </w:t>
      </w:r>
      <w:r w:rsidR="001C6F58">
        <w:t>Measurement Uncertainty budget, given in section B.1.1.3. of</w:t>
      </w:r>
      <w:r w:rsidR="007950F9">
        <w:t xml:space="preserve"> [1]</w:t>
      </w:r>
      <w:r w:rsidR="001C6F58">
        <w:t xml:space="preserve">, is related to </w:t>
      </w:r>
      <w:r w:rsidR="00B04B4B">
        <w:t>unprecise positioning of the Device Under T</w:t>
      </w:r>
      <w:r w:rsidR="001C6F58">
        <w:t>est in</w:t>
      </w:r>
      <w:r w:rsidR="00430133">
        <w:t xml:space="preserve"> the Quiet Z</w:t>
      </w:r>
      <w:r w:rsidR="001C6F58">
        <w:t xml:space="preserve">one of the anechoic chamber. </w:t>
      </w:r>
      <w:r w:rsidR="00C11E7D">
        <w:t>At R4 #84</w:t>
      </w:r>
      <w:r w:rsidR="00B04B4B">
        <w:t xml:space="preserve"> it was decided to allow for a test procedure where the D.U.T. can be randomly oriented </w:t>
      </w:r>
      <w:r w:rsidR="00430133">
        <w:t xml:space="preserve">in the QZ, the s.c. </w:t>
      </w:r>
      <w:r w:rsidR="006D4B18">
        <w:t>“</w:t>
      </w:r>
      <w:r w:rsidR="00430133">
        <w:t>black box approach</w:t>
      </w:r>
      <w:r w:rsidR="006D4B18">
        <w:t>”</w:t>
      </w:r>
      <w:r w:rsidR="007950F9">
        <w:t xml:space="preserve"> further described in </w:t>
      </w:r>
      <w:r w:rsidR="00C11E7D">
        <w:t>[2</w:t>
      </w:r>
      <w:r w:rsidR="007950F9">
        <w:t>]</w:t>
      </w:r>
      <w:r w:rsidR="00430133">
        <w:t>.</w:t>
      </w:r>
      <w:r w:rsidR="00143044">
        <w:t xml:space="preserve"> It is</w:t>
      </w:r>
      <w:r w:rsidR="00C11E7D">
        <w:t xml:space="preserve"> however</w:t>
      </w:r>
      <w:r w:rsidR="00143044">
        <w:t xml:space="preserve"> believed most 3GPP parties share the opinion the desire for reduced MU.</w:t>
      </w:r>
    </w:p>
    <w:p w:rsidR="00E32694" w:rsidRDefault="005C782F" w:rsidP="00201CEB">
      <w:pPr>
        <w:pStyle w:val="Heading1"/>
      </w:pPr>
      <w:r>
        <w:t>Q</w:t>
      </w:r>
      <w:r w:rsidR="008D54C8">
        <w:t xml:space="preserve">uiet zone </w:t>
      </w:r>
      <w:r>
        <w:t>quality and impact on overall MU</w:t>
      </w:r>
    </w:p>
    <w:p w:rsidR="00FB263B" w:rsidRPr="00201CEB" w:rsidRDefault="00FB263B" w:rsidP="00201CEB">
      <w:pPr>
        <w:pStyle w:val="BodyText"/>
      </w:pPr>
      <w:r w:rsidRPr="00201CEB">
        <w:t>The overall MU for EIRP for DFF method in</w:t>
      </w:r>
      <w:r w:rsidR="00956CE0" w:rsidRPr="00201CEB">
        <w:t xml:space="preserve"> Table B.1.1.3-1 of</w:t>
      </w:r>
      <w:r w:rsidRPr="00201CEB">
        <w:t xml:space="preserve"> [1] </w:t>
      </w:r>
      <w:r w:rsidR="000B521F">
        <w:t>(</w:t>
      </w:r>
      <w:r w:rsidR="000B521F" w:rsidRPr="00201CEB">
        <w:t>duplicated below for reference</w:t>
      </w:r>
      <w:r w:rsidR="000B521F">
        <w:t xml:space="preserve">) </w:t>
      </w:r>
      <w:r w:rsidRPr="00201CEB">
        <w:t xml:space="preserve">is </w:t>
      </w:r>
      <w:r w:rsidR="00E3316A" w:rsidRPr="00201CEB">
        <w:t>estimated</w:t>
      </w:r>
      <w:r w:rsidRPr="00201CEB">
        <w:t xml:space="preserve"> to 6.2 dB based on individual MU </w:t>
      </w:r>
      <w:r w:rsidR="00E32694">
        <w:t>components</w:t>
      </w:r>
      <w:r w:rsidRPr="00201CEB">
        <w:t xml:space="preserve">. </w:t>
      </w:r>
    </w:p>
    <w:p w:rsidR="00FB263B" w:rsidRPr="00E32694" w:rsidRDefault="00FB263B" w:rsidP="00FB263B">
      <w:pPr>
        <w:pStyle w:val="TH"/>
        <w:rPr>
          <w:highlight w:val="lightGray"/>
        </w:rPr>
      </w:pPr>
      <w:r w:rsidRPr="00E32694">
        <w:rPr>
          <w:highlight w:val="lightGray"/>
        </w:rPr>
        <w:lastRenderedPageBreak/>
        <w:t xml:space="preserve">Table </w:t>
      </w:r>
      <w:r w:rsidRPr="00E32694">
        <w:rPr>
          <w:rFonts w:eastAsia="MS Mincho"/>
          <w:highlight w:val="lightGray"/>
        </w:rPr>
        <w:t>B.1.1.3-</w:t>
      </w:r>
      <w:r w:rsidRPr="00E32694">
        <w:rPr>
          <w:highlight w:val="lightGray"/>
          <w:lang w:eastAsia="sv-SE"/>
        </w:rPr>
        <w:t>1</w:t>
      </w:r>
      <w:r w:rsidRPr="00E32694">
        <w:rPr>
          <w:highlight w:val="lightGray"/>
        </w:rPr>
        <w:t>: Uncertainty assessment for EIRP and TRP measurement (D = 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949"/>
        <w:gridCol w:w="1134"/>
        <w:gridCol w:w="1560"/>
        <w:gridCol w:w="992"/>
        <w:gridCol w:w="1210"/>
      </w:tblGrid>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H"/>
              <w:rPr>
                <w:highlight w:val="lightGray"/>
                <w:lang w:eastAsia="en-US"/>
              </w:rPr>
            </w:pPr>
            <w:r w:rsidRPr="00E32694">
              <w:rPr>
                <w:highlight w:val="lightGray"/>
                <w:lang w:eastAsia="en-US"/>
              </w:rPr>
              <w:t>UID</w:t>
            </w:r>
          </w:p>
        </w:tc>
        <w:tc>
          <w:tcPr>
            <w:tcW w:w="2949" w:type="dxa"/>
            <w:tcBorders>
              <w:top w:val="single" w:sz="6" w:space="0" w:color="auto"/>
              <w:left w:val="single" w:sz="6" w:space="0" w:color="auto"/>
              <w:bottom w:val="single" w:sz="6" w:space="0" w:color="auto"/>
              <w:right w:val="single" w:sz="6" w:space="0" w:color="auto"/>
            </w:tcBorders>
            <w:hideMark/>
          </w:tcPr>
          <w:p w:rsidR="00FB263B" w:rsidRPr="00E32694" w:rsidRDefault="00FB263B" w:rsidP="00FD7A1F">
            <w:pPr>
              <w:pStyle w:val="TAH"/>
              <w:rPr>
                <w:highlight w:val="lightGray"/>
                <w:lang w:eastAsia="en-US"/>
              </w:rPr>
            </w:pPr>
            <w:r w:rsidRPr="00E32694">
              <w:rPr>
                <w:highlight w:val="lightGray"/>
                <w:lang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H"/>
              <w:rPr>
                <w:highlight w:val="lightGray"/>
                <w:lang w:eastAsia="en-US"/>
              </w:rPr>
            </w:pPr>
            <w:r w:rsidRPr="00E32694">
              <w:rPr>
                <w:highlight w:val="lightGray"/>
                <w:lang w:eastAsia="en-US"/>
              </w:rPr>
              <w:t>Uncertainty value</w:t>
            </w:r>
          </w:p>
          <w:p w:rsidR="00FB263B" w:rsidRPr="00E32694" w:rsidRDefault="00FB263B" w:rsidP="00FD7A1F">
            <w:pPr>
              <w:pStyle w:val="TAH"/>
              <w:rPr>
                <w:highlight w:val="lightGray"/>
                <w:lang w:eastAsia="en-US"/>
              </w:rPr>
            </w:pP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H"/>
              <w:rPr>
                <w:highlight w:val="lightGray"/>
                <w:lang w:eastAsia="en-US"/>
              </w:rPr>
            </w:pPr>
            <w:r w:rsidRPr="00E32694">
              <w:rPr>
                <w:highlight w:val="lightGray"/>
                <w:lang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H"/>
              <w:rPr>
                <w:highlight w:val="lightGray"/>
                <w:lang w:eastAsia="en-US"/>
              </w:rPr>
            </w:pPr>
            <w:r w:rsidRPr="00E32694">
              <w:rPr>
                <w:highlight w:val="lightGray"/>
                <w:lang w:eastAsia="en-US"/>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H"/>
              <w:rPr>
                <w:highlight w:val="lightGray"/>
                <w:lang w:eastAsia="en-US"/>
              </w:rPr>
            </w:pPr>
            <w:r w:rsidRPr="00E32694">
              <w:rPr>
                <w:highlight w:val="lightGray"/>
                <w:lang w:eastAsia="en-US"/>
              </w:rPr>
              <w:t>Standard uncertainty (σ) [dB]</w:t>
            </w:r>
          </w:p>
          <w:p w:rsidR="00FB263B" w:rsidRPr="00E32694" w:rsidRDefault="00FB263B" w:rsidP="00FD7A1F">
            <w:pPr>
              <w:pStyle w:val="TAH"/>
              <w:rPr>
                <w:highlight w:val="lightGray"/>
                <w:lang w:eastAsia="en-US"/>
              </w:rPr>
            </w:pPr>
          </w:p>
        </w:tc>
      </w:tr>
      <w:tr w:rsidR="00FB263B" w:rsidRPr="00E3316A" w:rsidTr="00FD7A1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H"/>
              <w:rPr>
                <w:highlight w:val="lightGray"/>
                <w:lang w:eastAsia="en-US"/>
              </w:rPr>
            </w:pPr>
            <w:r w:rsidRPr="00E32694">
              <w:rPr>
                <w:highlight w:val="lightGray"/>
                <w:lang w:eastAsia="en-US"/>
              </w:rPr>
              <w:t>Stage 2: DUT measurement</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rPr>
            </w:pPr>
            <w:r w:rsidRPr="00E32694">
              <w:rPr>
                <w:highlight w:val="lightGray"/>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FB263B" w:rsidRPr="00E32694" w:rsidRDefault="00FB263B" w:rsidP="00FD7A1F">
            <w:pPr>
              <w:pStyle w:val="TAL"/>
              <w:rPr>
                <w:highlight w:val="lightGray"/>
                <w:lang w:eastAsia="ja-JP"/>
              </w:rPr>
            </w:pPr>
            <w:r w:rsidRPr="00E32694">
              <w:rPr>
                <w:highlight w:val="lightGray"/>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0.50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Rectangular</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1.73</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[0.29]</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rPr>
            </w:pPr>
            <w:r w:rsidRPr="00E32694">
              <w:rPr>
                <w:highlight w:val="lightGray"/>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FB263B" w:rsidRPr="00E32694" w:rsidRDefault="00FB263B" w:rsidP="00FD7A1F">
            <w:pPr>
              <w:pStyle w:val="TAL"/>
              <w:rPr>
                <w:sz w:val="21"/>
                <w:highlight w:val="lightGray"/>
                <w:lang w:eastAsia="ja-JP"/>
              </w:rPr>
            </w:pPr>
            <w:r w:rsidRPr="00E32694">
              <w:rPr>
                <w:highlight w:val="lightGray"/>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1.00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Rectangular</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1.73</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[0.58]</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rPr>
            </w:pPr>
            <w:r w:rsidRPr="00E32694">
              <w:rPr>
                <w:highlight w:val="lightGray"/>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FB263B" w:rsidRPr="00E32694" w:rsidRDefault="00FB263B" w:rsidP="00FD7A1F">
            <w:pPr>
              <w:pStyle w:val="TAL"/>
              <w:rPr>
                <w:highlight w:val="lightGray"/>
              </w:rPr>
            </w:pPr>
            <w:r w:rsidRPr="00E32694">
              <w:rPr>
                <w:highlight w:val="lightGray"/>
              </w:rPr>
              <w:t>Quality of quiet zone (NOTE 2)</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1.50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Actual</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1.00</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[1.50]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rPr>
            </w:pPr>
            <w:r w:rsidRPr="00E32694">
              <w:rPr>
                <w:highlight w:val="lightGray"/>
              </w:rPr>
              <w:t>4</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rPr>
            </w:pPr>
            <w:r w:rsidRPr="00E32694">
              <w:rPr>
                <w:highlight w:val="lightGray"/>
              </w:rPr>
              <w:t>Mismatch (NOTE 3)</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1.30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Actual</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1.00</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[1.30]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rPr>
            </w:pPr>
            <w:r w:rsidRPr="00E32694">
              <w:rPr>
                <w:highlight w:val="lightGray"/>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FB263B" w:rsidRPr="00E32694" w:rsidRDefault="00FB263B" w:rsidP="00FD7A1F">
            <w:pPr>
              <w:pStyle w:val="TAL"/>
              <w:rPr>
                <w:highlight w:val="lightGray"/>
              </w:rPr>
            </w:pPr>
            <w:r w:rsidRPr="00E32694">
              <w:rPr>
                <w:highlight w:val="lightGray"/>
              </w:rPr>
              <w:t>Absolute antenna gain uncertainty of the measurement antenna</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0.00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Normal</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2.00</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0.00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rPr>
            </w:pPr>
            <w:r w:rsidRPr="00E32694">
              <w:rPr>
                <w:highlight w:val="lightGray"/>
              </w:rPr>
              <w:t>6</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rPr>
            </w:pPr>
            <w:r w:rsidRPr="00E32694">
              <w:rPr>
                <w:highlight w:val="lightGray"/>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2.16</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Normal</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2.00</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[1.08]</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rPr>
            </w:pPr>
            <w:r w:rsidRPr="00E32694">
              <w:rPr>
                <w:highlight w:val="lightGray"/>
              </w:rPr>
              <w:t>Phase curvature</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0.00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U-shaped</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1.41</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0.00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rPr>
            </w:pPr>
            <w:r w:rsidRPr="00E32694">
              <w:rPr>
                <w:highlight w:val="lightGray"/>
                <w:lang w:eastAsia="ja-JP"/>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2.00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Normal</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2.00</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1.00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zh-CN"/>
              </w:rPr>
            </w:pPr>
            <w:r w:rsidRPr="00E32694">
              <w:rPr>
                <w:highlight w:val="lightGray"/>
                <w:lang w:eastAsia="zh-CN"/>
              </w:rPr>
              <w:t>9</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lang w:eastAsia="ja-JP"/>
              </w:rPr>
            </w:pPr>
            <w:r w:rsidRPr="00E32694">
              <w:rPr>
                <w:highlight w:val="lightGray"/>
                <w:lang w:eastAsia="ja-JP"/>
              </w:rPr>
              <w:t>Random uncertainty</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0.40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Rectangular</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1.73</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[0.23]</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zh-CN"/>
              </w:rPr>
            </w:pPr>
            <w:r w:rsidRPr="00E32694">
              <w:rPr>
                <w:highlight w:val="lightGray"/>
                <w:lang w:eastAsia="zh-CN"/>
              </w:rPr>
              <w:t>10</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lang w:eastAsia="ja-JP"/>
              </w:rPr>
            </w:pPr>
            <w:r w:rsidRPr="00E32694">
              <w:rPr>
                <w:highlight w:val="lightGray"/>
                <w:lang w:eastAsia="ja-JP"/>
              </w:rPr>
              <w:t>Influence of the XPD</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0.68</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U-shaped</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1.41</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0.48</w:t>
            </w:r>
          </w:p>
        </w:tc>
      </w:tr>
      <w:tr w:rsidR="00FB263B" w:rsidRPr="00E3316A" w:rsidTr="00FD7A1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H"/>
              <w:rPr>
                <w:highlight w:val="lightGray"/>
                <w:lang w:eastAsia="en-US"/>
              </w:rPr>
            </w:pPr>
            <w:r w:rsidRPr="00E32694">
              <w:rPr>
                <w:highlight w:val="lightGray"/>
                <w:lang w:eastAsia="en-US"/>
              </w:rPr>
              <w:t>Stage 1: Calibration measurement</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rPr>
              <w:t>1</w:t>
            </w:r>
            <w:r w:rsidRPr="00E32694">
              <w:rPr>
                <w:highlight w:val="lightGray"/>
                <w:lang w:eastAsia="ja-JP"/>
              </w:rPr>
              <w:t>1</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rPr>
            </w:pPr>
            <w:r w:rsidRPr="00E32694">
              <w:rPr>
                <w:highlight w:val="lightGray"/>
              </w:rPr>
              <w:t>Mismatch</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0.00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U-shaped</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1.41</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0.00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rPr>
              <w:t>1</w:t>
            </w:r>
            <w:r w:rsidRPr="00E32694">
              <w:rPr>
                <w:highlight w:val="lightGray"/>
                <w:lang w:eastAsia="ja-JP"/>
              </w:rPr>
              <w:t>2</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lang w:eastAsia="ja-JP"/>
              </w:rPr>
            </w:pPr>
            <w:r w:rsidRPr="00E32694">
              <w:rPr>
                <w:highlight w:val="lightGray"/>
              </w:rPr>
              <w:t>Reference antenna positioning misalignment</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0.29</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Rectangular</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1.73</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0.17</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lang w:eastAsia="ja-JP"/>
              </w:rPr>
              <w:t>13</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lang w:eastAsia="ja-JP"/>
              </w:rPr>
            </w:pPr>
            <w:r w:rsidRPr="00E32694">
              <w:rPr>
                <w:highlight w:val="lightGray"/>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1.50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Actual</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1.00</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[1.50]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rPr>
              <w:t>1</w:t>
            </w:r>
            <w:r w:rsidRPr="00E32694">
              <w:rPr>
                <w:highlight w:val="lightGray"/>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lang w:eastAsia="ja-JP"/>
              </w:rPr>
            </w:pPr>
            <w:r w:rsidRPr="00E32694">
              <w:rPr>
                <w:highlight w:val="lightGray"/>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0.00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Normal</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2.00</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0.00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rPr>
              <w:t>1</w:t>
            </w:r>
            <w:r w:rsidRPr="00E32694">
              <w:rPr>
                <w:highlight w:val="lightGray"/>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lang w:eastAsia="ja-JP"/>
              </w:rPr>
            </w:pPr>
            <w:r w:rsidRPr="00E32694">
              <w:rPr>
                <w:highlight w:val="lightGray"/>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0.40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Normal</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2.00</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0.20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lang w:eastAsia="ja-JP"/>
              </w:rPr>
            </w:pPr>
            <w:r w:rsidRPr="00E32694">
              <w:rPr>
                <w:highlight w:val="lightGray"/>
              </w:rPr>
              <w:t>Reference antenna feed cable loss measurement uncertainty</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0.29</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Rectangular</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1.73</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0.17</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rPr>
            </w:pPr>
            <w:r w:rsidRPr="00E32694">
              <w:rPr>
                <w:highlight w:val="lightGray"/>
                <w:lang w:eastAsia="ja-JP"/>
              </w:rPr>
              <w:t>Uncertainty of an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1.60</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Normal</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2.00</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[0.80]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Del="00842179" w:rsidRDefault="00FB263B" w:rsidP="00FD7A1F">
            <w:pPr>
              <w:pStyle w:val="TAL"/>
              <w:rPr>
                <w:highlight w:val="lightGray"/>
                <w:lang w:eastAsia="ja-JP"/>
              </w:rPr>
            </w:pPr>
            <w:r w:rsidRPr="00E32694">
              <w:rPr>
                <w:highlight w:val="lightGray"/>
                <w:lang w:eastAsia="ja-JP"/>
              </w:rPr>
              <w:t>18</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rPr>
            </w:pPr>
            <w:r w:rsidRPr="00E32694">
              <w:rPr>
                <w:highlight w:val="lightGray"/>
              </w:rPr>
              <w:t>Positioning and pointing misalignment between the reference antenna and the receiving antenna</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0.35</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Rectangular</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1.73</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[0.20]</w:t>
            </w:r>
          </w:p>
        </w:tc>
      </w:tr>
      <w:tr w:rsidR="00FB263B" w:rsidRPr="00E3316A" w:rsidTr="00FD7A1F">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L"/>
              <w:rPr>
                <w:highlight w:val="lightGray"/>
                <w:lang w:eastAsia="ja-JP"/>
              </w:rPr>
            </w:pPr>
            <w:r w:rsidRPr="00E32694">
              <w:rPr>
                <w:highlight w:val="lightGray"/>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rsidR="00FB263B" w:rsidRPr="00E32694" w:rsidRDefault="00FB263B" w:rsidP="00FD7A1F">
            <w:pPr>
              <w:pStyle w:val="TAL"/>
              <w:rPr>
                <w:highlight w:val="lightGray"/>
              </w:rPr>
            </w:pPr>
            <w:r w:rsidRPr="00E32694">
              <w:rPr>
                <w:highlight w:val="lightGray"/>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0.62</w:t>
            </w:r>
          </w:p>
        </w:tc>
        <w:tc>
          <w:tcPr>
            <w:tcW w:w="156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Rectangular</w:t>
            </w:r>
          </w:p>
        </w:tc>
        <w:tc>
          <w:tcPr>
            <w:tcW w:w="992"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1.73</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[0.36]</w:t>
            </w:r>
          </w:p>
        </w:tc>
      </w:tr>
      <w:tr w:rsidR="00FB263B" w:rsidRPr="00E3316A" w:rsidTr="00FD7A1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[6.20]</w:t>
            </w:r>
          </w:p>
        </w:tc>
      </w:tr>
      <w:tr w:rsidR="00FB263B" w:rsidRPr="00E3316A" w:rsidTr="00FD7A1F">
        <w:trPr>
          <w:cantSplit/>
          <w:tblHeader/>
          <w:jc w:val="center"/>
        </w:trPr>
        <w:tc>
          <w:tcPr>
            <w:tcW w:w="7080" w:type="dxa"/>
            <w:gridSpan w:val="5"/>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C"/>
              <w:rPr>
                <w:highlight w:val="lightGray"/>
                <w:lang w:eastAsia="en-US"/>
              </w:rPr>
            </w:pPr>
            <w:r w:rsidRPr="00E32694">
              <w:rPr>
                <w:highlight w:val="lightGray"/>
                <w:lang w:eastAsia="en-US"/>
              </w:rPr>
              <w:t>[5.37]</w:t>
            </w:r>
          </w:p>
        </w:tc>
      </w:tr>
      <w:tr w:rsidR="00FB263B" w:rsidRPr="0005509D" w:rsidTr="00FD7A1F">
        <w:trPr>
          <w:cantSplit/>
          <w:tblHeader/>
          <w:jc w:val="center"/>
        </w:trPr>
        <w:tc>
          <w:tcPr>
            <w:tcW w:w="8290" w:type="dxa"/>
            <w:gridSpan w:val="6"/>
            <w:tcBorders>
              <w:top w:val="single" w:sz="6" w:space="0" w:color="auto"/>
              <w:left w:val="single" w:sz="6" w:space="0" w:color="auto"/>
              <w:bottom w:val="single" w:sz="6" w:space="0" w:color="auto"/>
              <w:right w:val="single" w:sz="6" w:space="0" w:color="auto"/>
            </w:tcBorders>
          </w:tcPr>
          <w:p w:rsidR="00FB263B" w:rsidRPr="00E32694" w:rsidRDefault="00FB263B" w:rsidP="00FD7A1F">
            <w:pPr>
              <w:pStyle w:val="TAN"/>
              <w:rPr>
                <w:highlight w:val="lightGray"/>
              </w:rPr>
            </w:pPr>
            <w:r w:rsidRPr="00E32694">
              <w:rPr>
                <w:highlight w:val="lightGray"/>
              </w:rPr>
              <w:t>NOTE 1:</w:t>
            </w:r>
            <w:r w:rsidRPr="00E32694">
              <w:rPr>
                <w:highlight w:val="lightGray"/>
              </w:rPr>
              <w:tab/>
              <w:t>The impact of phase variation on EIRP shall be taken into account during final MU definition for the test method.</w:t>
            </w:r>
          </w:p>
          <w:p w:rsidR="00FB263B" w:rsidRPr="00E32694" w:rsidRDefault="00FB263B" w:rsidP="00FD7A1F">
            <w:pPr>
              <w:pStyle w:val="TAN"/>
              <w:rPr>
                <w:highlight w:val="lightGray"/>
              </w:rPr>
            </w:pPr>
            <w:r w:rsidRPr="00E32694">
              <w:rPr>
                <w:highlight w:val="lightGray"/>
              </w:rPr>
              <w:t>NOTE 2:</w:t>
            </w:r>
            <w:r w:rsidRPr="00E32694">
              <w:rPr>
                <w:highlight w:val="lightGray"/>
              </w:rPr>
              <w:tab/>
              <w:t>The quality of quiet zone is different for EIRP and TRP. For TRP, the standard uncertainty is [1dB]; for EIRP, the standard uncertainty of quiet zone is [1.5dB].</w:t>
            </w:r>
          </w:p>
          <w:p w:rsidR="00FB263B" w:rsidRPr="00E32694" w:rsidRDefault="00FB263B" w:rsidP="00FD7A1F">
            <w:pPr>
              <w:pStyle w:val="TAN"/>
              <w:rPr>
                <w:highlight w:val="lightGray"/>
              </w:rPr>
            </w:pPr>
            <w:r w:rsidRPr="00E32694">
              <w:rPr>
                <w:highlight w:val="lightGray"/>
              </w:rPr>
              <w:t xml:space="preserve">NOTE 3: </w:t>
            </w:r>
            <w:r w:rsidRPr="00E32694">
              <w:rPr>
                <w:highlight w:val="lightGray"/>
              </w:rPr>
              <w:tab/>
              <w:t>The analysis was done only for the case of operating at max output power, in-band, non-CA.</w:t>
            </w:r>
          </w:p>
          <w:p w:rsidR="00FB263B" w:rsidRPr="0005509D" w:rsidRDefault="00FB263B" w:rsidP="00FD7A1F">
            <w:pPr>
              <w:pStyle w:val="TAN"/>
            </w:pPr>
            <w:r w:rsidRPr="00E32694">
              <w:rPr>
                <w:highlight w:val="lightGray"/>
              </w:rPr>
              <w:t>NOTE 4:</w:t>
            </w:r>
            <w:r w:rsidRPr="00E32694">
              <w:rPr>
                <w:highlight w:val="lightGray"/>
              </w:rPr>
              <w:tab/>
              <w:t>The assessment assumes maximum DUT output power.</w:t>
            </w:r>
          </w:p>
        </w:tc>
      </w:tr>
    </w:tbl>
    <w:p w:rsidR="00E3316A" w:rsidRDefault="00E3316A" w:rsidP="00B711B9">
      <w:pPr>
        <w:pStyle w:val="BodyText"/>
      </w:pPr>
    </w:p>
    <w:p w:rsidR="00956CE0" w:rsidRPr="00201CEB" w:rsidRDefault="00956CE0" w:rsidP="00201CEB">
      <w:pPr>
        <w:pStyle w:val="BodyText"/>
      </w:pPr>
      <w:r w:rsidRPr="00201CEB">
        <w:t xml:space="preserve">The calculation of overall MU is done by root sum square of the component values if the component is statistical, and direct summed if the component is based on actual measurement. </w:t>
      </w:r>
    </w:p>
    <w:p w:rsidR="00956CE0" w:rsidRPr="00201CEB" w:rsidRDefault="00956CE0" w:rsidP="00201CEB">
      <w:pPr>
        <w:pStyle w:val="BodyText"/>
      </w:pPr>
      <w:r w:rsidRPr="00201CEB">
        <w:rPr>
          <w:b/>
        </w:rPr>
        <w:t>Observation 1:</w:t>
      </w:r>
      <w:r w:rsidRPr="00201CEB">
        <w:t xml:space="preserve"> The two biggest components in the MU calculation are based on actual measurements and therefore are weighted more in the total MU (5.6 dB out of total 6.2 dB EIRP MU).</w:t>
      </w:r>
    </w:p>
    <w:p w:rsidR="00956CE0" w:rsidRPr="00201CEB" w:rsidRDefault="00956CE0" w:rsidP="00201CEB">
      <w:pPr>
        <w:pStyle w:val="BodyText"/>
      </w:pPr>
      <w:r w:rsidRPr="00201CEB">
        <w:rPr>
          <w:b/>
        </w:rPr>
        <w:t>Observation 2:</w:t>
      </w:r>
      <w:r w:rsidRPr="00201CEB">
        <w:t xml:space="preserve"> The MU component “quality of quiet zone” represents 3 dB out of the total 6.2 dB total MU for EIRP. </w:t>
      </w:r>
    </w:p>
    <w:p w:rsidR="00956CE0" w:rsidRPr="00201CEB" w:rsidRDefault="00956CE0" w:rsidP="00201CEB">
      <w:pPr>
        <w:pStyle w:val="BodyText"/>
      </w:pPr>
    </w:p>
    <w:p w:rsidR="00956CE0" w:rsidRPr="00E32694" w:rsidRDefault="00956CE0" w:rsidP="00201CEB">
      <w:pPr>
        <w:pStyle w:val="BodyText"/>
      </w:pPr>
      <w:r w:rsidRPr="00E32694">
        <w:t>The Quality of quiet zone component is defined in [1] as:</w:t>
      </w:r>
    </w:p>
    <w:p w:rsidR="00956CE0" w:rsidRPr="00FD7A1F" w:rsidRDefault="00956CE0" w:rsidP="00956CE0">
      <w:pPr>
        <w:pStyle w:val="Heading5"/>
        <w:numPr>
          <w:ilvl w:val="0"/>
          <w:numId w:val="0"/>
        </w:numPr>
        <w:ind w:left="720"/>
        <w:jc w:val="left"/>
        <w:rPr>
          <w:highlight w:val="lightGray"/>
          <w:lang w:eastAsia="ja-JP"/>
        </w:rPr>
      </w:pPr>
      <w:bookmarkStart w:id="1" w:name="_Toc524527701"/>
      <w:r w:rsidRPr="00FD7A1F">
        <w:rPr>
          <w:highlight w:val="lightGray"/>
          <w:lang w:eastAsia="ja-JP"/>
        </w:rPr>
        <w:t>B.1.1.4.3</w:t>
      </w:r>
      <w:r w:rsidRPr="00FD7A1F">
        <w:rPr>
          <w:highlight w:val="lightGray"/>
          <w:lang w:eastAsia="ja-JP"/>
        </w:rPr>
        <w:tab/>
        <w:t>Quality of quiet zone</w:t>
      </w:r>
      <w:bookmarkEnd w:id="1"/>
    </w:p>
    <w:p w:rsidR="00956CE0" w:rsidRDefault="00956CE0" w:rsidP="00956CE0">
      <w:pPr>
        <w:ind w:left="720"/>
        <w:rPr>
          <w:lang w:eastAsia="zh-CN"/>
        </w:rPr>
      </w:pPr>
      <w:r w:rsidRPr="00FD7A1F">
        <w:rPr>
          <w:highlight w:val="lightGray"/>
          <w:lang w:eastAsia="zh-CN"/>
        </w:rPr>
        <w:t xml:space="preserve">The quality of the quiet zone procedure characterizes the quiet zone performance of the anechoic chamber, specifically the effect of reflections within the anechoic chamber including any positioners and support structures. The MU term additionally includes the amplitude variations effect of offsetting the directive antenna array inside a DUT from the centre of the quiet zone as well as the directivity MU, i.e., the variation of antenna gains in the different direct line-of-sight links. An additional MU term related to phase variation and phase ripple effects </w:t>
      </w:r>
      <w:r w:rsidRPr="00FD7A1F">
        <w:rPr>
          <w:highlight w:val="lightGray"/>
          <w:lang w:eastAsia="zh-CN"/>
        </w:rPr>
        <w:lastRenderedPageBreak/>
        <w:t xml:space="preserve">which depends on measurement distance is FFS </w:t>
      </w:r>
      <w:r w:rsidRPr="00FD7A1F">
        <w:rPr>
          <w:highlight w:val="lightGray"/>
        </w:rPr>
        <w:t>and shall be assessed during final MU definition for the test method</w:t>
      </w:r>
      <w:r w:rsidRPr="00FD7A1F">
        <w:rPr>
          <w:highlight w:val="lightGray"/>
          <w:lang w:eastAsia="zh-CN"/>
        </w:rPr>
        <w:t>. This might require an augmentation of the quality of the quiet zone validation procedure.</w:t>
      </w:r>
      <w:r w:rsidRPr="00C86AAE" w:rsidDel="00C86AAE">
        <w:rPr>
          <w:lang w:eastAsia="zh-CN"/>
        </w:rPr>
        <w:t xml:space="preserve"> </w:t>
      </w:r>
    </w:p>
    <w:p w:rsidR="00E3316A" w:rsidRPr="00956CE0" w:rsidRDefault="00E3316A" w:rsidP="00B711B9">
      <w:pPr>
        <w:pStyle w:val="BodyText"/>
      </w:pPr>
    </w:p>
    <w:p w:rsidR="00B711B9" w:rsidRDefault="00B711B9" w:rsidP="00B711B9">
      <w:pPr>
        <w:pStyle w:val="Heading1"/>
        <w:keepLines/>
        <w:pBdr>
          <w:top w:val="single" w:sz="12" w:space="3" w:color="auto"/>
        </w:pBdr>
        <w:overflowPunct w:val="0"/>
        <w:autoSpaceDE w:val="0"/>
        <w:autoSpaceDN w:val="0"/>
        <w:adjustRightInd w:val="0"/>
        <w:spacing w:after="180"/>
        <w:ind w:right="0"/>
        <w:textAlignment w:val="baseline"/>
      </w:pPr>
      <w:r>
        <w:t>Proposal</w:t>
      </w:r>
    </w:p>
    <w:p w:rsidR="007C1872" w:rsidRDefault="007C1872" w:rsidP="00B711B9">
      <w:pPr>
        <w:pStyle w:val="BodyText"/>
        <w:rPr>
          <w:b/>
        </w:rPr>
      </w:pPr>
      <w:r w:rsidRPr="007C1872">
        <w:rPr>
          <w:b/>
        </w:rPr>
        <w:t xml:space="preserve">Proposal 1: </w:t>
      </w:r>
      <w:r w:rsidRPr="007C1872">
        <w:t>To introduce an optional UE declaration in TS38.508-2 for the location of antennas such that a more precise positioning vs. the QZ can take place. Thus MU related to misalignments will be reduced.</w:t>
      </w:r>
    </w:p>
    <w:p w:rsidR="00B711B9" w:rsidRDefault="008D54C8" w:rsidP="00F675B3">
      <w:pPr>
        <w:pStyle w:val="BodyText"/>
      </w:pPr>
      <w:r w:rsidRPr="00E32694">
        <w:rPr>
          <w:b/>
        </w:rPr>
        <w:t>Proposal 2:</w:t>
      </w:r>
      <w:r>
        <w:t xml:space="preserve"> To specify an alternative lower MU value in </w:t>
      </w:r>
      <w:r w:rsidR="007C1872">
        <w:t xml:space="preserve">Annex F of </w:t>
      </w:r>
      <w:r>
        <w:t xml:space="preserve">38.521-2 </w:t>
      </w:r>
      <w:r w:rsidR="007C1872">
        <w:t xml:space="preserve">that applies when </w:t>
      </w:r>
      <w:r>
        <w:t>UE declaration is utilized</w:t>
      </w:r>
    </w:p>
    <w:p w:rsidR="0053682F" w:rsidRDefault="006D4B18" w:rsidP="0053682F">
      <w:pPr>
        <w:pStyle w:val="Heading1"/>
        <w:keepLines/>
        <w:pBdr>
          <w:top w:val="single" w:sz="12" w:space="3" w:color="auto"/>
        </w:pBdr>
        <w:overflowPunct w:val="0"/>
        <w:autoSpaceDE w:val="0"/>
        <w:autoSpaceDN w:val="0"/>
        <w:adjustRightInd w:val="0"/>
        <w:spacing w:after="180"/>
        <w:ind w:right="0"/>
        <w:textAlignment w:val="baseline"/>
        <w:rPr>
          <w:lang w:val="en-US"/>
        </w:rPr>
      </w:pPr>
      <w:r>
        <w:rPr>
          <w:lang w:val="en-US"/>
        </w:rPr>
        <w:t>References</w:t>
      </w:r>
    </w:p>
    <w:p w:rsidR="007950F9" w:rsidRPr="007950F9" w:rsidRDefault="007950F9" w:rsidP="007950F9">
      <w:pPr>
        <w:pStyle w:val="BodyText"/>
        <w:rPr>
          <w:lang w:val="en-US"/>
        </w:rPr>
      </w:pPr>
      <w:r>
        <w:rPr>
          <w:lang w:val="en-US"/>
        </w:rPr>
        <w:t>[1]</w:t>
      </w:r>
      <w:r>
        <w:rPr>
          <w:lang w:val="en-US"/>
        </w:rPr>
        <w:tab/>
        <w:t>TR 38.810 v.2.</w:t>
      </w:r>
      <w:r w:rsidR="008D54C8">
        <w:rPr>
          <w:lang w:val="en-US"/>
        </w:rPr>
        <w:t>6</w:t>
      </w:r>
      <w:r>
        <w:rPr>
          <w:lang w:val="en-US"/>
        </w:rPr>
        <w:t>.</w:t>
      </w:r>
      <w:r w:rsidR="008D54C8">
        <w:rPr>
          <w:lang w:val="en-US"/>
        </w:rPr>
        <w:t>1</w:t>
      </w:r>
      <w:r>
        <w:rPr>
          <w:lang w:val="en-US"/>
        </w:rPr>
        <w:t>.</w:t>
      </w:r>
    </w:p>
    <w:p w:rsidR="007950F9" w:rsidRPr="007950F9" w:rsidRDefault="00C11E7D" w:rsidP="007950F9">
      <w:pPr>
        <w:pStyle w:val="BodyText"/>
        <w:rPr>
          <w:b/>
        </w:rPr>
      </w:pPr>
      <w:r>
        <w:rPr>
          <w:lang w:val="en-US"/>
        </w:rPr>
        <w:t>[2</w:t>
      </w:r>
      <w:r w:rsidR="006D4B18">
        <w:rPr>
          <w:lang w:val="en-US"/>
        </w:rPr>
        <w:t>]</w:t>
      </w:r>
      <w:r w:rsidR="006D4B18">
        <w:rPr>
          <w:lang w:val="en-US"/>
        </w:rPr>
        <w:tab/>
        <w:t>R4</w:t>
      </w:r>
      <w:r w:rsidR="007950F9">
        <w:rPr>
          <w:lang w:val="en-US"/>
        </w:rPr>
        <w:t xml:space="preserve">-1708200 Rohde &amp; Schwarz, </w:t>
      </w:r>
      <w:r w:rsidR="007950F9" w:rsidRPr="007950F9">
        <w:t>Black Box vs White Box Testing for NR</w:t>
      </w:r>
    </w:p>
    <w:p w:rsidR="00C82A2C" w:rsidRPr="00862ABA" w:rsidRDefault="00C82A2C" w:rsidP="00012DB3">
      <w:pPr>
        <w:pStyle w:val="BodyText"/>
      </w:pPr>
    </w:p>
    <w:p w:rsidR="007A45DD" w:rsidRDefault="007A45DD" w:rsidP="00041D58">
      <w:pPr>
        <w:pStyle w:val="references"/>
        <w:numPr>
          <w:ilvl w:val="0"/>
          <w:numId w:val="0"/>
        </w:numPr>
        <w:tabs>
          <w:tab w:val="left" w:pos="1560"/>
        </w:tabs>
        <w:ind w:left="360"/>
      </w:pPr>
    </w:p>
    <w:sectPr w:rsidR="007A45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6799" w:rsidRDefault="00D96799">
      <w:r>
        <w:separator/>
      </w:r>
    </w:p>
  </w:endnote>
  <w:endnote w:type="continuationSeparator" w:id="0">
    <w:p w:rsidR="00D96799" w:rsidRDefault="00D9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6799" w:rsidRDefault="00D96799">
      <w:r>
        <w:separator/>
      </w:r>
    </w:p>
  </w:footnote>
  <w:footnote w:type="continuationSeparator" w:id="0">
    <w:p w:rsidR="00D96799" w:rsidRDefault="00D96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6"/>
  </w:num>
  <w:num w:numId="4">
    <w:abstractNumId w:val="3"/>
  </w:num>
  <w:num w:numId="5">
    <w:abstractNumId w:val="2"/>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7E58"/>
    <w:rsid w:val="0001008F"/>
    <w:rsid w:val="000105D8"/>
    <w:rsid w:val="0001067C"/>
    <w:rsid w:val="00010B48"/>
    <w:rsid w:val="0001115D"/>
    <w:rsid w:val="00012053"/>
    <w:rsid w:val="00012DB3"/>
    <w:rsid w:val="00012E79"/>
    <w:rsid w:val="00013576"/>
    <w:rsid w:val="0001373B"/>
    <w:rsid w:val="00014B15"/>
    <w:rsid w:val="00014CA4"/>
    <w:rsid w:val="00014ED4"/>
    <w:rsid w:val="00015704"/>
    <w:rsid w:val="00015A17"/>
    <w:rsid w:val="000165F6"/>
    <w:rsid w:val="00016CF1"/>
    <w:rsid w:val="000172C8"/>
    <w:rsid w:val="00017365"/>
    <w:rsid w:val="00017551"/>
    <w:rsid w:val="000178DB"/>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1D58"/>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9B1"/>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9B8"/>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EC6"/>
    <w:rsid w:val="000B309C"/>
    <w:rsid w:val="000B3252"/>
    <w:rsid w:val="000B3615"/>
    <w:rsid w:val="000B4533"/>
    <w:rsid w:val="000B4BBC"/>
    <w:rsid w:val="000B4C0C"/>
    <w:rsid w:val="000B5202"/>
    <w:rsid w:val="000B521F"/>
    <w:rsid w:val="000B539A"/>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7AF"/>
    <w:rsid w:val="00140EB3"/>
    <w:rsid w:val="00141092"/>
    <w:rsid w:val="001414E7"/>
    <w:rsid w:val="00141805"/>
    <w:rsid w:val="0014203F"/>
    <w:rsid w:val="001423C8"/>
    <w:rsid w:val="001428B0"/>
    <w:rsid w:val="00142E73"/>
    <w:rsid w:val="00143044"/>
    <w:rsid w:val="00143435"/>
    <w:rsid w:val="001436B1"/>
    <w:rsid w:val="00143DAF"/>
    <w:rsid w:val="00144451"/>
    <w:rsid w:val="00145B7F"/>
    <w:rsid w:val="00145C1A"/>
    <w:rsid w:val="00145CBC"/>
    <w:rsid w:val="001462D0"/>
    <w:rsid w:val="00146463"/>
    <w:rsid w:val="0014694C"/>
    <w:rsid w:val="00146ECC"/>
    <w:rsid w:val="001470B1"/>
    <w:rsid w:val="00147431"/>
    <w:rsid w:val="0014749E"/>
    <w:rsid w:val="001479C6"/>
    <w:rsid w:val="00147D75"/>
    <w:rsid w:val="00147E88"/>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18A0"/>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26F1"/>
    <w:rsid w:val="001A2CAF"/>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9EF"/>
    <w:rsid w:val="001B40F0"/>
    <w:rsid w:val="001B529F"/>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6F58"/>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C7"/>
    <w:rsid w:val="002005EF"/>
    <w:rsid w:val="00200A10"/>
    <w:rsid w:val="00200F06"/>
    <w:rsid w:val="00201684"/>
    <w:rsid w:val="002019BC"/>
    <w:rsid w:val="00201CEB"/>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732"/>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1AA2"/>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024F"/>
    <w:rsid w:val="0025120C"/>
    <w:rsid w:val="00251B65"/>
    <w:rsid w:val="0025230C"/>
    <w:rsid w:val="002523F9"/>
    <w:rsid w:val="00252FA2"/>
    <w:rsid w:val="00253249"/>
    <w:rsid w:val="00253321"/>
    <w:rsid w:val="00253DD0"/>
    <w:rsid w:val="0025467B"/>
    <w:rsid w:val="002546E3"/>
    <w:rsid w:val="002548F6"/>
    <w:rsid w:val="00254D94"/>
    <w:rsid w:val="00255BEC"/>
    <w:rsid w:val="002560DA"/>
    <w:rsid w:val="002571E1"/>
    <w:rsid w:val="0025732D"/>
    <w:rsid w:val="0026059E"/>
    <w:rsid w:val="00260C99"/>
    <w:rsid w:val="00260ED4"/>
    <w:rsid w:val="00261009"/>
    <w:rsid w:val="002612A5"/>
    <w:rsid w:val="002619AE"/>
    <w:rsid w:val="00261A4B"/>
    <w:rsid w:val="00262408"/>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65"/>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D9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5B75"/>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8E4"/>
    <w:rsid w:val="002B2B8E"/>
    <w:rsid w:val="002B2B95"/>
    <w:rsid w:val="002B37E0"/>
    <w:rsid w:val="002B3821"/>
    <w:rsid w:val="002B39C2"/>
    <w:rsid w:val="002B43A1"/>
    <w:rsid w:val="002B4647"/>
    <w:rsid w:val="002B4F5A"/>
    <w:rsid w:val="002B4FC1"/>
    <w:rsid w:val="002B523B"/>
    <w:rsid w:val="002B5A48"/>
    <w:rsid w:val="002B5A6D"/>
    <w:rsid w:val="002B5B05"/>
    <w:rsid w:val="002B5B87"/>
    <w:rsid w:val="002B6133"/>
    <w:rsid w:val="002B645B"/>
    <w:rsid w:val="002B6689"/>
    <w:rsid w:val="002B68F3"/>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15"/>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2689"/>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2BA2"/>
    <w:rsid w:val="0035303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5A8C"/>
    <w:rsid w:val="00376AB6"/>
    <w:rsid w:val="00376CEA"/>
    <w:rsid w:val="00376D0C"/>
    <w:rsid w:val="00376E41"/>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CC4"/>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B82"/>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3BD"/>
    <w:rsid w:val="004005B1"/>
    <w:rsid w:val="00400871"/>
    <w:rsid w:val="00400924"/>
    <w:rsid w:val="00400EA5"/>
    <w:rsid w:val="00401E2D"/>
    <w:rsid w:val="00401E8A"/>
    <w:rsid w:val="00402482"/>
    <w:rsid w:val="00402562"/>
    <w:rsid w:val="00402675"/>
    <w:rsid w:val="004029A3"/>
    <w:rsid w:val="00402E60"/>
    <w:rsid w:val="00403096"/>
    <w:rsid w:val="004032C5"/>
    <w:rsid w:val="004033C6"/>
    <w:rsid w:val="00403C19"/>
    <w:rsid w:val="00404243"/>
    <w:rsid w:val="0040591D"/>
    <w:rsid w:val="004059C7"/>
    <w:rsid w:val="0040759A"/>
    <w:rsid w:val="00407B1B"/>
    <w:rsid w:val="004100CD"/>
    <w:rsid w:val="0041078B"/>
    <w:rsid w:val="00410A5E"/>
    <w:rsid w:val="00411867"/>
    <w:rsid w:val="004119AE"/>
    <w:rsid w:val="00411CC0"/>
    <w:rsid w:val="00411FE9"/>
    <w:rsid w:val="004121D6"/>
    <w:rsid w:val="00412C6E"/>
    <w:rsid w:val="0041379D"/>
    <w:rsid w:val="00413840"/>
    <w:rsid w:val="004145DF"/>
    <w:rsid w:val="004148B1"/>
    <w:rsid w:val="00414B8C"/>
    <w:rsid w:val="00415194"/>
    <w:rsid w:val="00415FDC"/>
    <w:rsid w:val="004167A1"/>
    <w:rsid w:val="00416831"/>
    <w:rsid w:val="00417578"/>
    <w:rsid w:val="00417C9B"/>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13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5BC"/>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197"/>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6BA"/>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8F8"/>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19F7"/>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4DA"/>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82F"/>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0FC8"/>
    <w:rsid w:val="005B11FF"/>
    <w:rsid w:val="005B1FFD"/>
    <w:rsid w:val="005B2235"/>
    <w:rsid w:val="005B26EC"/>
    <w:rsid w:val="005B2C28"/>
    <w:rsid w:val="005B3036"/>
    <w:rsid w:val="005B3196"/>
    <w:rsid w:val="005B3291"/>
    <w:rsid w:val="005B338C"/>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0A60"/>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82F"/>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08"/>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5F7D5A"/>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816"/>
    <w:rsid w:val="00635ADE"/>
    <w:rsid w:val="006360F8"/>
    <w:rsid w:val="0063620A"/>
    <w:rsid w:val="0063722A"/>
    <w:rsid w:val="00637768"/>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B61"/>
    <w:rsid w:val="00647992"/>
    <w:rsid w:val="00647C14"/>
    <w:rsid w:val="00647E2A"/>
    <w:rsid w:val="0065020C"/>
    <w:rsid w:val="00650C20"/>
    <w:rsid w:val="00650F4A"/>
    <w:rsid w:val="00651158"/>
    <w:rsid w:val="00651412"/>
    <w:rsid w:val="006515B2"/>
    <w:rsid w:val="00652834"/>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7AE"/>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C37"/>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4B18"/>
    <w:rsid w:val="006D57A2"/>
    <w:rsid w:val="006D5CE3"/>
    <w:rsid w:val="006D5EB8"/>
    <w:rsid w:val="006D6425"/>
    <w:rsid w:val="006D6C59"/>
    <w:rsid w:val="006D6DAA"/>
    <w:rsid w:val="006D7912"/>
    <w:rsid w:val="006D7C5C"/>
    <w:rsid w:val="006E00FD"/>
    <w:rsid w:val="006E0552"/>
    <w:rsid w:val="006E0B7D"/>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810"/>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6F2"/>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0EE"/>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1FEE"/>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0F9"/>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5DD"/>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B7BF5"/>
    <w:rsid w:val="007C0ECA"/>
    <w:rsid w:val="007C1693"/>
    <w:rsid w:val="007C1872"/>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1F6E"/>
    <w:rsid w:val="008925E4"/>
    <w:rsid w:val="00892799"/>
    <w:rsid w:val="00892847"/>
    <w:rsid w:val="008928CC"/>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92"/>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C32"/>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4C8"/>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544"/>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8F7C1A"/>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C2"/>
    <w:rsid w:val="00906CE7"/>
    <w:rsid w:val="00906E25"/>
    <w:rsid w:val="00907763"/>
    <w:rsid w:val="00910556"/>
    <w:rsid w:val="009105D2"/>
    <w:rsid w:val="00910BD4"/>
    <w:rsid w:val="00911A57"/>
    <w:rsid w:val="00913C24"/>
    <w:rsid w:val="00914380"/>
    <w:rsid w:val="00914741"/>
    <w:rsid w:val="00914F22"/>
    <w:rsid w:val="00914F68"/>
    <w:rsid w:val="00915E0A"/>
    <w:rsid w:val="00916727"/>
    <w:rsid w:val="00916AFF"/>
    <w:rsid w:val="00916BA2"/>
    <w:rsid w:val="00916F03"/>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0A3"/>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CE0"/>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BC4"/>
    <w:rsid w:val="00973C60"/>
    <w:rsid w:val="00973CBE"/>
    <w:rsid w:val="00973D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299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39A"/>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813"/>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3FB"/>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965"/>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981"/>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08A7"/>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1EDE"/>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80A"/>
    <w:rsid w:val="00A41D37"/>
    <w:rsid w:val="00A4205F"/>
    <w:rsid w:val="00A4247D"/>
    <w:rsid w:val="00A42F04"/>
    <w:rsid w:val="00A43796"/>
    <w:rsid w:val="00A43BEB"/>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6789C"/>
    <w:rsid w:val="00A70D7B"/>
    <w:rsid w:val="00A70E31"/>
    <w:rsid w:val="00A71272"/>
    <w:rsid w:val="00A71676"/>
    <w:rsid w:val="00A71BEB"/>
    <w:rsid w:val="00A71BFF"/>
    <w:rsid w:val="00A721E3"/>
    <w:rsid w:val="00A72397"/>
    <w:rsid w:val="00A72541"/>
    <w:rsid w:val="00A72645"/>
    <w:rsid w:val="00A7291B"/>
    <w:rsid w:val="00A744D2"/>
    <w:rsid w:val="00A746C0"/>
    <w:rsid w:val="00A74985"/>
    <w:rsid w:val="00A754BA"/>
    <w:rsid w:val="00A757CE"/>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C5"/>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45"/>
    <w:rsid w:val="00AA16BF"/>
    <w:rsid w:val="00AA17AE"/>
    <w:rsid w:val="00AA1A1D"/>
    <w:rsid w:val="00AA1D10"/>
    <w:rsid w:val="00AA1DBC"/>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3D54"/>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B4B"/>
    <w:rsid w:val="00B04F8C"/>
    <w:rsid w:val="00B050E4"/>
    <w:rsid w:val="00B051CB"/>
    <w:rsid w:val="00B05DD3"/>
    <w:rsid w:val="00B05EA9"/>
    <w:rsid w:val="00B064BD"/>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1B9"/>
    <w:rsid w:val="00B71820"/>
    <w:rsid w:val="00B718C3"/>
    <w:rsid w:val="00B72906"/>
    <w:rsid w:val="00B72BD5"/>
    <w:rsid w:val="00B72FDE"/>
    <w:rsid w:val="00B73A64"/>
    <w:rsid w:val="00B73EDB"/>
    <w:rsid w:val="00B74184"/>
    <w:rsid w:val="00B7423D"/>
    <w:rsid w:val="00B74E79"/>
    <w:rsid w:val="00B752CE"/>
    <w:rsid w:val="00B752DB"/>
    <w:rsid w:val="00B75C2A"/>
    <w:rsid w:val="00B761B8"/>
    <w:rsid w:val="00B76BFA"/>
    <w:rsid w:val="00B77CE8"/>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8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3D4"/>
    <w:rsid w:val="00BB74EC"/>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6EAC"/>
    <w:rsid w:val="00BC7251"/>
    <w:rsid w:val="00BD0DDD"/>
    <w:rsid w:val="00BD1A2C"/>
    <w:rsid w:val="00BD20B7"/>
    <w:rsid w:val="00BD34FB"/>
    <w:rsid w:val="00BD3C98"/>
    <w:rsid w:val="00BD4203"/>
    <w:rsid w:val="00BD4A17"/>
    <w:rsid w:val="00BD4C1A"/>
    <w:rsid w:val="00BD5055"/>
    <w:rsid w:val="00BD5998"/>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3BC4"/>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F57"/>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1E7D"/>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1EDE"/>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6E93"/>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52"/>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0D69"/>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B94"/>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5EE"/>
    <w:rsid w:val="00CD2BC2"/>
    <w:rsid w:val="00CD36BC"/>
    <w:rsid w:val="00CD3B1E"/>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5A03"/>
    <w:rsid w:val="00D0611E"/>
    <w:rsid w:val="00D07698"/>
    <w:rsid w:val="00D07817"/>
    <w:rsid w:val="00D07857"/>
    <w:rsid w:val="00D10590"/>
    <w:rsid w:val="00D10821"/>
    <w:rsid w:val="00D109C6"/>
    <w:rsid w:val="00D10DBC"/>
    <w:rsid w:val="00D1149A"/>
    <w:rsid w:val="00D11E5E"/>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4EBF"/>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2C"/>
    <w:rsid w:val="00D54088"/>
    <w:rsid w:val="00D5444A"/>
    <w:rsid w:val="00D5449F"/>
    <w:rsid w:val="00D54AA1"/>
    <w:rsid w:val="00D5533C"/>
    <w:rsid w:val="00D555E1"/>
    <w:rsid w:val="00D558B4"/>
    <w:rsid w:val="00D559CE"/>
    <w:rsid w:val="00D55A61"/>
    <w:rsid w:val="00D55E92"/>
    <w:rsid w:val="00D56113"/>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7FB"/>
    <w:rsid w:val="00D85902"/>
    <w:rsid w:val="00D85C0E"/>
    <w:rsid w:val="00D85C3F"/>
    <w:rsid w:val="00D85E74"/>
    <w:rsid w:val="00D86398"/>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799"/>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7EB"/>
    <w:rsid w:val="00DB4821"/>
    <w:rsid w:val="00DB5044"/>
    <w:rsid w:val="00DB56A2"/>
    <w:rsid w:val="00DB6084"/>
    <w:rsid w:val="00DB6139"/>
    <w:rsid w:val="00DB61A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3D3"/>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3D1"/>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694"/>
    <w:rsid w:val="00E32F2C"/>
    <w:rsid w:val="00E3316A"/>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4792E"/>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725"/>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97FD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B7C09"/>
    <w:rsid w:val="00EC0161"/>
    <w:rsid w:val="00EC0C97"/>
    <w:rsid w:val="00EC12E5"/>
    <w:rsid w:val="00EC204B"/>
    <w:rsid w:val="00EC241A"/>
    <w:rsid w:val="00EC2823"/>
    <w:rsid w:val="00EC2D9A"/>
    <w:rsid w:val="00EC2EE1"/>
    <w:rsid w:val="00EC2EFD"/>
    <w:rsid w:val="00EC3786"/>
    <w:rsid w:val="00EC3DF1"/>
    <w:rsid w:val="00EC40AD"/>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58E"/>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45D"/>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0CDC"/>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5B3"/>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1FAF"/>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BCE"/>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59C"/>
    <w:rsid w:val="00FA7810"/>
    <w:rsid w:val="00FA7B68"/>
    <w:rsid w:val="00FB0364"/>
    <w:rsid w:val="00FB1596"/>
    <w:rsid w:val="00FB1E69"/>
    <w:rsid w:val="00FB2517"/>
    <w:rsid w:val="00FB263B"/>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494"/>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3A29AE"/>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7"/>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62321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9771985">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0150989">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8A228-27CD-4B96-BF3E-64ECE20C6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771</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Mikael Zirén</cp:lastModifiedBy>
  <cp:revision>5</cp:revision>
  <cp:lastPrinted>2017-08-10T13:20:00Z</cp:lastPrinted>
  <dcterms:created xsi:type="dcterms:W3CDTF">2018-10-02T12:18:00Z</dcterms:created>
  <dcterms:modified xsi:type="dcterms:W3CDTF">2018-10-02T12:37:00Z</dcterms:modified>
</cp:coreProperties>
</file>